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26" w:rsidRPr="000A211F" w:rsidRDefault="00B04C26">
      <w:pPr>
        <w:rPr>
          <w:rFonts w:ascii="Times New Roman" w:hAnsi="Times New Roman" w:cs="Times New Roman"/>
          <w:sz w:val="28"/>
          <w:szCs w:val="28"/>
          <w:lang w:val="ru-RU"/>
        </w:rPr>
        <w:sectPr w:rsidR="00B04C26" w:rsidRPr="000A211F">
          <w:pgSz w:w="12240" w:h="15840"/>
          <w:pgMar w:top="2041" w:right="1134" w:bottom="1409" w:left="1134" w:header="568" w:footer="0" w:gutter="0"/>
          <w:cols w:space="720"/>
          <w:formProt w:val="0"/>
          <w:docGrid w:linePitch="600" w:charSpace="32768"/>
        </w:sectPr>
      </w:pPr>
    </w:p>
    <w:p w:rsidR="00B04C26" w:rsidRDefault="000A211F" w:rsidP="000A211F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Утверждено приказом № 81 от 18.09.2023 года</w:t>
      </w:r>
    </w:p>
    <w:p w:rsidR="000A211F" w:rsidRPr="000A211F" w:rsidRDefault="000A211F" w:rsidP="000A211F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4C26" w:rsidRPr="000A211F" w:rsidRDefault="00B91BBD">
      <w:pPr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b/>
          <w:sz w:val="28"/>
          <w:szCs w:val="28"/>
          <w:lang w:val="ru-RU"/>
        </w:rPr>
        <w:t>ПОЛОЖЕНИЕ ОБ ОЦЕНКЕ КОРРУПЦИОННЫХ РИСКОВ</w:t>
      </w:r>
    </w:p>
    <w:p w:rsidR="00B04C26" w:rsidRPr="000A211F" w:rsidRDefault="00B91BBD">
      <w:pPr>
        <w:pStyle w:val="af4"/>
        <w:numPr>
          <w:ilvl w:val="0"/>
          <w:numId w:val="2"/>
        </w:numPr>
        <w:tabs>
          <w:tab w:val="left" w:pos="307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0A2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11F">
        <w:rPr>
          <w:rFonts w:ascii="Times New Roman" w:hAnsi="Times New Roman" w:cs="Times New Roman"/>
          <w:sz w:val="28"/>
          <w:szCs w:val="28"/>
          <w:lang w:val="ru-RU"/>
        </w:rPr>
        <w:t>Муниципальном казенном дошкольном образовательном учреждении детский сад общеразвивающего вида «Тополек» города Слободского Кировской области</w:t>
      </w:r>
    </w:p>
    <w:p w:rsidR="00B04C26" w:rsidRPr="000A211F" w:rsidRDefault="00B04C26">
      <w:pPr>
        <w:pStyle w:val="af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4C26" w:rsidRPr="000A211F" w:rsidRDefault="00B91BBD">
      <w:pPr>
        <w:pStyle w:val="af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11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0A211F">
        <w:rPr>
          <w:rFonts w:ascii="Times New Roman" w:hAnsi="Times New Roman" w:cs="Times New Roman"/>
          <w:b/>
          <w:sz w:val="28"/>
          <w:szCs w:val="28"/>
        </w:rPr>
        <w:t xml:space="preserve"> . </w:t>
      </w:r>
      <w:proofErr w:type="spellStart"/>
      <w:r w:rsidRPr="000A211F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Pr="000A2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211F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:rsidR="00B04C26" w:rsidRPr="000A211F" w:rsidRDefault="00B04C26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C26" w:rsidRPr="000A211F" w:rsidRDefault="00B91B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 xml:space="preserve">1.1. Оценка коррупционных рисков является важнейшим элементом антикоррупционной политики </w:t>
      </w:r>
      <w:r w:rsidR="000A211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казенного дошкольног7о образовательного учреждения детский сад общеразвивающего вида «Тополек» города Слободского Кировской области </w:t>
      </w:r>
      <w:r w:rsidRPr="000A211F">
        <w:rPr>
          <w:rFonts w:ascii="Times New Roman" w:hAnsi="Times New Roman" w:cs="Times New Roman"/>
          <w:sz w:val="28"/>
          <w:szCs w:val="28"/>
          <w:lang w:val="ru-RU"/>
        </w:rPr>
        <w:t>(далее-Учреждение),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B04C26" w:rsidRPr="000A211F" w:rsidRDefault="00B91B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B04C26" w:rsidRPr="000A211F" w:rsidRDefault="00B91B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 w:rsidR="00B04C26" w:rsidRPr="000A211F" w:rsidRDefault="00B04C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4C26" w:rsidRPr="000A211F" w:rsidRDefault="00B91BBD">
      <w:pPr>
        <w:pStyle w:val="Default"/>
        <w:spacing w:line="276" w:lineRule="auto"/>
        <w:jc w:val="center"/>
        <w:rPr>
          <w:sz w:val="28"/>
          <w:szCs w:val="28"/>
        </w:rPr>
      </w:pPr>
      <w:r w:rsidRPr="000A211F">
        <w:rPr>
          <w:b/>
          <w:color w:val="auto"/>
          <w:sz w:val="28"/>
          <w:szCs w:val="28"/>
        </w:rPr>
        <w:t>2. Порядок оценки коррупционных рисков</w:t>
      </w:r>
    </w:p>
    <w:p w:rsidR="00B04C26" w:rsidRPr="000A211F" w:rsidRDefault="00B04C26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до 30 ноября</w:t>
      </w:r>
      <w:r w:rsidRPr="000A211F">
        <w:rPr>
          <w:i/>
          <w:color w:val="auto"/>
          <w:sz w:val="28"/>
          <w:szCs w:val="28"/>
        </w:rPr>
        <w:t>.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 xml:space="preserve">На основании оценки коррупционных рисков составляется перечень </w:t>
      </w:r>
      <w:proofErr w:type="spellStart"/>
      <w:r w:rsidRPr="000A211F">
        <w:rPr>
          <w:color w:val="auto"/>
          <w:sz w:val="28"/>
          <w:szCs w:val="28"/>
        </w:rPr>
        <w:t>коррупционно</w:t>
      </w:r>
      <w:proofErr w:type="spellEnd"/>
      <w:r w:rsidRPr="000A211F">
        <w:rPr>
          <w:color w:val="auto"/>
          <w:sz w:val="28"/>
          <w:szCs w:val="28"/>
        </w:rPr>
        <w:t xml:space="preserve">-опасных функций, и разрабатывается комплекс мер по устранению или минимизации коррупционных рисков. 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 xml:space="preserve">2.2. Оценку коррупционных рисков в деятельности Учреждения осуществляет директор Учреждения. 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>2.3. Этапы проведения оценки коррупционных рисков: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lastRenderedPageBreak/>
        <w:t>2.3.1. провести анализ деятельности Учреждения, выделив: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>а) отдельные процессы;</w:t>
      </w:r>
    </w:p>
    <w:p w:rsidR="00B04C26" w:rsidRPr="000A211F" w:rsidRDefault="00B91BBD">
      <w:pPr>
        <w:pStyle w:val="Default"/>
        <w:spacing w:line="276" w:lineRule="auto"/>
        <w:ind w:left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>б) составные элементы процессов (</w:t>
      </w:r>
      <w:proofErr w:type="spellStart"/>
      <w:r w:rsidRPr="000A211F">
        <w:rPr>
          <w:color w:val="auto"/>
          <w:sz w:val="28"/>
          <w:szCs w:val="28"/>
        </w:rPr>
        <w:t>подпроцессы</w:t>
      </w:r>
      <w:proofErr w:type="spellEnd"/>
      <w:r w:rsidRPr="000A211F">
        <w:rPr>
          <w:color w:val="auto"/>
          <w:sz w:val="28"/>
          <w:szCs w:val="28"/>
        </w:rPr>
        <w:t>);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>2.3.2. в</w:t>
      </w:r>
      <w:r w:rsidRPr="000A211F">
        <w:rPr>
          <w:sz w:val="28"/>
          <w:szCs w:val="28"/>
        </w:rPr>
        <w:t>ыделить «критические точки» (элементы (</w:t>
      </w:r>
      <w:proofErr w:type="spellStart"/>
      <w:r w:rsidRPr="000A211F">
        <w:rPr>
          <w:sz w:val="28"/>
          <w:szCs w:val="28"/>
        </w:rPr>
        <w:t>подпроцессы</w:t>
      </w:r>
      <w:proofErr w:type="spellEnd"/>
      <w:r w:rsidRPr="000A211F">
        <w:rPr>
          <w:sz w:val="28"/>
          <w:szCs w:val="28"/>
        </w:rPr>
        <w:t>), при реализации которых наиболее вероятно возникновение коррупционных правонарушений);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A211F">
        <w:rPr>
          <w:color w:val="auto"/>
          <w:sz w:val="28"/>
          <w:szCs w:val="28"/>
        </w:rPr>
        <w:t>2.3.3. с</w:t>
      </w:r>
      <w:r w:rsidRPr="000A211F">
        <w:rPr>
          <w:sz w:val="28"/>
          <w:szCs w:val="28"/>
        </w:rPr>
        <w:t xml:space="preserve">оставить для </w:t>
      </w:r>
      <w:proofErr w:type="spellStart"/>
      <w:r w:rsidRPr="000A211F">
        <w:rPr>
          <w:sz w:val="28"/>
          <w:szCs w:val="28"/>
        </w:rPr>
        <w:t>подпроцессов</w:t>
      </w:r>
      <w:proofErr w:type="spellEnd"/>
      <w:r w:rsidRPr="000A211F">
        <w:rPr>
          <w:sz w:val="28"/>
          <w:szCs w:val="28"/>
        </w:rP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 xml:space="preserve">а)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 xml:space="preserve">б) 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0A211F">
        <w:rPr>
          <w:sz w:val="28"/>
          <w:szCs w:val="28"/>
        </w:rPr>
        <w:t>коррупциогенные</w:t>
      </w:r>
      <w:proofErr w:type="spellEnd"/>
      <w:r w:rsidRPr="000A211F">
        <w:rPr>
          <w:sz w:val="28"/>
          <w:szCs w:val="28"/>
        </w:rPr>
        <w:t xml:space="preserve"> должности);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>в) возможные формы осуществления коррупционных платежей (денежное вознаграждение, услуги, преимущества и т.д.);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 xml:space="preserve">2.3.4. </w:t>
      </w:r>
      <w:r w:rsidRPr="000A211F">
        <w:rPr>
          <w:sz w:val="28"/>
          <w:szCs w:val="28"/>
        </w:rPr>
        <w:t>Разработать на основании проведенного анализа карту коррупционных рисков Учреждения;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 xml:space="preserve">2.3.5. </w:t>
      </w:r>
      <w:r w:rsidRPr="000A211F">
        <w:rPr>
          <w:sz w:val="28"/>
          <w:szCs w:val="28"/>
        </w:rPr>
        <w:t xml:space="preserve">Сформировать перечень должностей, связанных с высоким коррупционным риском. 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 xml:space="preserve">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0A211F">
        <w:rPr>
          <w:i/>
          <w:sz w:val="28"/>
          <w:szCs w:val="28"/>
        </w:rPr>
        <w:t>(например, представление деклараций о конфликте интересов, деклараций о личной заинтересованности)</w:t>
      </w:r>
      <w:r w:rsidRPr="000A211F">
        <w:rPr>
          <w:sz w:val="28"/>
          <w:szCs w:val="28"/>
        </w:rPr>
        <w:t>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 xml:space="preserve">2.3.6. </w:t>
      </w:r>
      <w:r w:rsidRPr="000A211F">
        <w:rPr>
          <w:sz w:val="28"/>
          <w:szCs w:val="28"/>
        </w:rPr>
        <w:t>разработать комплекс мер по устранению или минимизации коррупционных рисков.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>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>а) проведение обучающих мероприятий для работников Учреждения по вопросам противодействия коррупции;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>б) 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>в) 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lastRenderedPageBreak/>
        <w:t>г) внедрение систем электронного взаимодействия с гражданами и организациями;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 xml:space="preserve">д) осуществление внутреннего </w:t>
      </w:r>
      <w:proofErr w:type="gramStart"/>
      <w:r w:rsidRPr="000A211F">
        <w:rPr>
          <w:sz w:val="28"/>
          <w:szCs w:val="28"/>
        </w:rPr>
        <w:t>контроля за</w:t>
      </w:r>
      <w:proofErr w:type="gramEnd"/>
      <w:r w:rsidRPr="000A211F">
        <w:rPr>
          <w:sz w:val="28"/>
          <w:szCs w:val="28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 xml:space="preserve">е) регламентация сроков и порядка реализации </w:t>
      </w:r>
      <w:proofErr w:type="spellStart"/>
      <w:r w:rsidRPr="000A211F">
        <w:rPr>
          <w:sz w:val="28"/>
          <w:szCs w:val="28"/>
        </w:rPr>
        <w:t>подпроцессов</w:t>
      </w:r>
      <w:proofErr w:type="spellEnd"/>
      <w:r w:rsidRPr="000A211F">
        <w:rPr>
          <w:sz w:val="28"/>
          <w:szCs w:val="28"/>
        </w:rPr>
        <w:t xml:space="preserve"> с повышенным уровнем коррупционной уязвимости;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sz w:val="28"/>
          <w:szCs w:val="28"/>
        </w:rPr>
        <w:t>ж) использование видео- и звукозаписывающих устройств в местах приема граждан и представителей организаций и иные меры.</w:t>
      </w:r>
    </w:p>
    <w:p w:rsidR="00B04C26" w:rsidRPr="000A211F" w:rsidRDefault="00B04C26">
      <w:pPr>
        <w:pStyle w:val="ConsPlusNormal"/>
        <w:spacing w:line="276" w:lineRule="auto"/>
        <w:ind w:firstLine="709"/>
        <w:jc w:val="center"/>
        <w:rPr>
          <w:b/>
        </w:rPr>
      </w:pPr>
    </w:p>
    <w:p w:rsidR="00B04C26" w:rsidRPr="000A211F" w:rsidRDefault="00B91BBD">
      <w:pPr>
        <w:pStyle w:val="ConsPlusNormal"/>
        <w:spacing w:line="276" w:lineRule="auto"/>
        <w:ind w:firstLine="709"/>
        <w:jc w:val="center"/>
      </w:pPr>
      <w:r w:rsidRPr="000A211F">
        <w:rPr>
          <w:b/>
        </w:rPr>
        <w:t>3. Карта коррупционных рисков</w:t>
      </w:r>
    </w:p>
    <w:p w:rsidR="00B04C26" w:rsidRPr="000A211F" w:rsidRDefault="00B04C26">
      <w:pPr>
        <w:pStyle w:val="Default"/>
        <w:spacing w:line="276" w:lineRule="auto"/>
        <w:ind w:firstLine="709"/>
        <w:rPr>
          <w:b/>
          <w:color w:val="auto"/>
          <w:sz w:val="28"/>
          <w:szCs w:val="28"/>
        </w:rPr>
      </w:pP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>3.1. Карта коррупционных рисков (далее – Карта) содержит: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>а) зоны повышенного коррупционного риска (</w:t>
      </w:r>
      <w:proofErr w:type="spellStart"/>
      <w:r w:rsidRPr="000A211F">
        <w:rPr>
          <w:color w:val="auto"/>
          <w:sz w:val="28"/>
          <w:szCs w:val="28"/>
        </w:rPr>
        <w:t>коррупционно</w:t>
      </w:r>
      <w:proofErr w:type="spellEnd"/>
      <w:r w:rsidRPr="000A211F">
        <w:rPr>
          <w:color w:val="auto"/>
          <w:sz w:val="28"/>
          <w:szCs w:val="28"/>
        </w:rPr>
        <w:t>-опасные функции и полномочия), которые счита</w:t>
      </w:r>
      <w:bookmarkStart w:id="0" w:name="_GoBack"/>
      <w:bookmarkEnd w:id="0"/>
      <w:r w:rsidRPr="000A211F">
        <w:rPr>
          <w:color w:val="auto"/>
          <w:sz w:val="28"/>
          <w:szCs w:val="28"/>
        </w:rPr>
        <w:t>ются наиболее предрасполагающими к возникновению коррупционных правонарушений;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 xml:space="preserve">б) перечень должностей Учреждения, связанных с определенной зоной повышенного коррупционного риска (с реализацией </w:t>
      </w:r>
      <w:proofErr w:type="spellStart"/>
      <w:r w:rsidRPr="000A211F">
        <w:rPr>
          <w:color w:val="auto"/>
          <w:sz w:val="28"/>
          <w:szCs w:val="28"/>
        </w:rPr>
        <w:t>коррупционно</w:t>
      </w:r>
      <w:proofErr w:type="spellEnd"/>
      <w:r w:rsidRPr="000A211F">
        <w:rPr>
          <w:color w:val="auto"/>
          <w:sz w:val="28"/>
          <w:szCs w:val="28"/>
        </w:rPr>
        <w:t>-опасных функций и полномочий);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>в)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B04C26" w:rsidRPr="000A211F" w:rsidRDefault="00B91B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211F">
        <w:rPr>
          <w:color w:val="auto"/>
          <w:sz w:val="28"/>
          <w:szCs w:val="28"/>
        </w:rPr>
        <w:t xml:space="preserve">г) меры по устранению или минимизации </w:t>
      </w:r>
      <w:proofErr w:type="spellStart"/>
      <w:r w:rsidRPr="000A211F">
        <w:rPr>
          <w:color w:val="auto"/>
          <w:sz w:val="28"/>
          <w:szCs w:val="28"/>
        </w:rPr>
        <w:t>коррупционно</w:t>
      </w:r>
      <w:proofErr w:type="spellEnd"/>
      <w:r w:rsidRPr="000A211F">
        <w:rPr>
          <w:color w:val="auto"/>
          <w:sz w:val="28"/>
          <w:szCs w:val="28"/>
        </w:rPr>
        <w:t>-оп</w:t>
      </w:r>
      <w:bookmarkStart w:id="1" w:name="_GoBack1"/>
      <w:bookmarkEnd w:id="1"/>
      <w:r w:rsidRPr="000A211F">
        <w:rPr>
          <w:color w:val="auto"/>
          <w:sz w:val="28"/>
          <w:szCs w:val="28"/>
        </w:rPr>
        <w:t>асных функций.</w:t>
      </w:r>
    </w:p>
    <w:p w:rsidR="00B04C26" w:rsidRPr="000A211F" w:rsidRDefault="00B91B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 xml:space="preserve">3.2. Карта разрабатывается и утверждается </w:t>
      </w:r>
      <w:proofErr w:type="gramStart"/>
      <w:r w:rsidR="000A211F">
        <w:rPr>
          <w:rFonts w:ascii="Times New Roman" w:hAnsi="Times New Roman" w:cs="Times New Roman"/>
          <w:sz w:val="28"/>
          <w:szCs w:val="28"/>
          <w:lang w:val="ru-RU"/>
        </w:rPr>
        <w:t>заведующей</w:t>
      </w:r>
      <w:r w:rsidRPr="000A211F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proofErr w:type="gramEnd"/>
      <w:r w:rsidRPr="000A21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4C26" w:rsidRPr="000A211F" w:rsidRDefault="00B91B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>3.3. Изменению карта подлежит:</w:t>
      </w:r>
    </w:p>
    <w:p w:rsidR="00B04C26" w:rsidRPr="000A211F" w:rsidRDefault="00B91B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>а) по результатам проведения оценки коррупционных рисков в Учреждении;</w:t>
      </w:r>
    </w:p>
    <w:p w:rsidR="00B04C26" w:rsidRPr="000A211F" w:rsidRDefault="00B91B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>б) 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B04C26" w:rsidRPr="000A211F" w:rsidRDefault="00B91B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>в) в случае выявления фактов коррупции в Учреждении.</w:t>
      </w:r>
    </w:p>
    <w:p w:rsidR="00B04C26" w:rsidRPr="000A211F" w:rsidRDefault="00B04C26">
      <w:pPr>
        <w:spacing w:beforeAutospacing="1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04C26" w:rsidRPr="000A211F" w:rsidRDefault="00B04C26">
      <w:pPr>
        <w:spacing w:beforeAutospacing="1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04C26" w:rsidRPr="000A211F" w:rsidRDefault="00B04C26">
      <w:pPr>
        <w:spacing w:beforeAutospacing="1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B04C26" w:rsidRPr="000A211F">
          <w:headerReference w:type="default" r:id="rId8"/>
          <w:footerReference w:type="default" r:id="rId9"/>
          <w:pgSz w:w="12240" w:h="15840"/>
          <w:pgMar w:top="625" w:right="1134" w:bottom="1129" w:left="1134" w:header="568" w:footer="567" w:gutter="0"/>
          <w:pgNumType w:fmt="none"/>
          <w:cols w:space="720"/>
          <w:formProt w:val="0"/>
          <w:docGrid w:linePitch="600" w:charSpace="32768"/>
        </w:sect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6F36" w:rsidRDefault="00436F36">
      <w:pPr>
        <w:spacing w:beforeAutospacing="1" w:afterAutospacing="1" w:line="1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04C26" w:rsidRPr="000A211F" w:rsidRDefault="00B91BBD" w:rsidP="00436F36">
      <w:pPr>
        <w:spacing w:beforeAutospacing="1" w:afterAutospacing="1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Приложение </w:t>
      </w:r>
    </w:p>
    <w:p w:rsidR="00B04C26" w:rsidRPr="000A211F" w:rsidRDefault="00B91BBD" w:rsidP="00436F36">
      <w:pPr>
        <w:spacing w:beforeAutospacing="1" w:afterAutospacing="1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  Положению об оценке коррупционных рисков</w:t>
      </w:r>
    </w:p>
    <w:p w:rsidR="00B04C26" w:rsidRPr="000A211F" w:rsidRDefault="00B91BBD" w:rsidP="00436F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0A211F"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  <w:r w:rsidRPr="000A21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  <w:r w:rsidRPr="000A2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04C26" w:rsidRPr="000A211F" w:rsidRDefault="000A211F" w:rsidP="00436F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Заведующая МКДОУ д/с «Тополек»</w:t>
      </w:r>
    </w:p>
    <w:p w:rsidR="00B04C26" w:rsidRPr="000A211F" w:rsidRDefault="00B04C26" w:rsidP="00436F36">
      <w:pPr>
        <w:jc w:val="right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B04C26" w:rsidRPr="000A211F" w:rsidRDefault="00B91BBD" w:rsidP="00436F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lang w:val="ru-RU"/>
        </w:rPr>
        <w:t xml:space="preserve">______________    _______________ </w:t>
      </w:r>
    </w:p>
    <w:p w:rsidR="00B04C26" w:rsidRPr="000A211F" w:rsidRDefault="00B91BBD" w:rsidP="00436F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A211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</w:t>
      </w:r>
    </w:p>
    <w:p w:rsidR="00B04C26" w:rsidRPr="000A211F" w:rsidRDefault="000A211F" w:rsidP="00436F36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«18» сентября</w:t>
      </w:r>
      <w:r w:rsidR="00B91BBD" w:rsidRPr="000A21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2023 года</w:t>
      </w:r>
    </w:p>
    <w:p w:rsidR="00B04C26" w:rsidRPr="000A211F" w:rsidRDefault="00436F36">
      <w:pPr>
        <w:spacing w:beforeAutospacing="1" w:afterAutospacing="1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Карта коррупционных рисков</w:t>
      </w:r>
    </w:p>
    <w:tbl>
      <w:tblPr>
        <w:tblW w:w="14317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2664"/>
        <w:gridCol w:w="2456"/>
        <w:gridCol w:w="3542"/>
        <w:gridCol w:w="5127"/>
      </w:tblGrid>
      <w:tr w:rsidR="00B04C26" w:rsidRPr="000A211F" w:rsidTr="00436F36">
        <w:trPr>
          <w:trHeight w:val="2520"/>
        </w:trPr>
        <w:tc>
          <w:tcPr>
            <w:tcW w:w="528" w:type="dxa"/>
            <w:tcBorders>
              <w:top w:val="outset" w:sz="3" w:space="0" w:color="000000"/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664" w:type="dxa"/>
            <w:tcBorders>
              <w:top w:val="outset" w:sz="3" w:space="0" w:color="000000"/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795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Зоны повышенного </w:t>
            </w:r>
            <w:r w:rsidR="00B91BBD" w:rsidRPr="000A2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коррупционного риска </w:t>
            </w:r>
            <w:r w:rsidR="00B91BBD" w:rsidRPr="000A21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(</w:t>
            </w:r>
            <w:proofErr w:type="spellStart"/>
            <w:r w:rsidR="00B91BBD" w:rsidRPr="000A21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коррупционно</w:t>
            </w:r>
            <w:proofErr w:type="spellEnd"/>
            <w:r w:rsidR="00B91BBD" w:rsidRPr="000A21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-опасные функции и полномочия)</w:t>
            </w:r>
          </w:p>
        </w:tc>
        <w:tc>
          <w:tcPr>
            <w:tcW w:w="2456" w:type="dxa"/>
            <w:tcBorders>
              <w:top w:val="outset" w:sz="3" w:space="0" w:color="000000"/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436F36" w:rsidRDefault="00436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6F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Перечень должностей</w:t>
            </w:r>
          </w:p>
        </w:tc>
        <w:tc>
          <w:tcPr>
            <w:tcW w:w="3542" w:type="dxa"/>
            <w:tcBorders>
              <w:top w:val="outset" w:sz="3" w:space="0" w:color="000000"/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A2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Типовые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ситуации</w:t>
            </w:r>
            <w:proofErr w:type="spellEnd"/>
          </w:p>
        </w:tc>
        <w:tc>
          <w:tcPr>
            <w:tcW w:w="5127" w:type="dxa"/>
            <w:tcBorders>
              <w:top w:val="outset" w:sz="3" w:space="0" w:color="000000"/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устранению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4C26" w:rsidRPr="000A211F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04C26" w:rsidRPr="00436F36" w:rsidTr="00436F36">
        <w:trPr>
          <w:trHeight w:val="2165"/>
        </w:trPr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Организация деятельности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принятие управленческих решений</w:t>
            </w:r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0A21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или лицо его замещающее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и/или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его родственников либо иной личной заинтересованности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Информационная открытость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реализация, утвержденной антикоррупционной политики в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Учреждении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разъяснение работникам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мер ответственности за совершение коррупционных правонарушений 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служебной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информацией</w:t>
            </w:r>
            <w:proofErr w:type="spellEnd"/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0A21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или лицо его замещающее, работники </w:t>
            </w:r>
            <w:r w:rsidR="00B91BBD"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Учреждения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в личных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распространению; попытка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Соблюдение антикоррупционной политики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указание сотрудникам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меры ответственности за совершение коррупционных правонарушений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</w:t>
            </w:r>
            <w:proofErr w:type="spellEnd"/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0A211F" w:rsidP="00436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или лицо его замещающее,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36F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делопроизводитель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Предоставление не предусмотренных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закондательством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преимуще</w:t>
            </w:r>
            <w:proofErr w:type="gram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 дл</w:t>
            </w:r>
            <w:proofErr w:type="gram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 поступления на работу в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Учреждение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Проведение собеседования при приеме на работу лично директором или лицом его замещающим; ознакомление под роспись с локальными актами </w:t>
            </w:r>
            <w:bookmarkStart w:id="2" w:name="__DdeLink__1187_3521100280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Учреждения</w:t>
            </w:r>
            <w:bookmarkEnd w:id="2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антикоррупции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Рассмотрение обращений юридических лиц и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граждан</w:t>
            </w:r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0A21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Заведующая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или лицо его замещающее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Нарушение установленного порядка рассмотрения обращений граждан и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юридических лиц; требование от физических и юридических лиц информации, предоставление которой не предусмотрено действующим законодательством РФ 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Соблюдение установленного порядка рассмотрения обращений юридических лиц и граждан; </w:t>
            </w:r>
            <w:proofErr w:type="gram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сроками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подготовки за рассмотрением обращений граждан и юридических лиц; 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Взаимоотношения с должностными лицами в вышестоящих организациях, органах власти и управления, правоохранительных органах и других организациях и предприятиях</w:t>
            </w:r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0A211F" w:rsidP="00436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или лицо его замещающее, должностные лица, уполномоченные </w:t>
            </w:r>
            <w:r w:rsidR="00436F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заведующей 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представлять интересы Учреждения 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Передача подарков, материальных ценностей, оказание каких-либо услуг, не связанных с профессиональной деятельностью, должностным лицам в вышестоящих организациях, органах власти и управления, правоохранительных органах и различных организациях, за исключением символических знаков внимания (деловые сувениры), протокольных мероприятий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Соблюдение утвержденной антикоррупционной политики в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Учреждении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 разъяснение работникам Учреждения мер ответственности за совершение коррупционных правонарушений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04C26" w:rsidRPr="000A211F" w:rsidRDefault="00B04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Принятие решений об использовании бюджетных средств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 средств, от приносящей доход деятельности (при наличии)</w:t>
            </w:r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0A211F" w:rsidP="000A21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Заведующая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или лицо его замещающее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Нецелевое и/или неэффективное использование бюджетных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средств и средств, от приносящей доход деятельности (при наличии)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Публикация в открытом доступе Плана закупок и Плана-графика закупок Учреждения на текущий год на сайте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ЕИС; соблюдение установленного законодательством порядка осуществления закупок для государственных и муниципальных нужд; разъяснительная работа о мерах ответственности за совершение коррупционных правонарушений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Учет материальных и нематериальных активов Учреждения</w:t>
            </w:r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436F36" w:rsidP="00436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или лицо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её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замещающее, материально-ответственные лица 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Несвоевременная постановка на регистрационный учет материальных ценностей;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сохранности материальных ценностей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Проведение инвентаризации материальных ценностей в соответствии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Учреждения</w:t>
            </w:r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Специалисты учреждения, Комиссия по осуществлению закупок</w:t>
            </w:r>
            <w:r w:rsidR="00436F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соответствии с Приказом)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Осуществление закупки, в которой нет объективной потребности; необоснованное завышение объема закупаемых услуг, работ, товара; необоснованное ограничение конкуренции (круга возможных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поставщиков); необоснованное упрощение или усложнение существенных условий контракта или договора, в том числе предмета и сроков исполнения; необоснованное завышение цены закупки;</w:t>
            </w:r>
            <w:r w:rsidR="007956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необоснованное усложнение (упрощение) процедур определения поставщика; заключение договоров без соблюдения установленных процедур закупок;</w:t>
            </w:r>
            <w:proofErr w:type="gram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Соблюдение установленного законодательством порядка осуществления закупок для нужд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 и Администрации КМР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информационная открытость при осуществлении закупок 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Составление, заполнение и предоставление документов</w:t>
            </w:r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7956D8" w:rsidP="00436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или лицо его замещающее, </w:t>
            </w:r>
            <w:r w:rsidR="00436F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делопроизводитель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Искажение, сокрытие или предоставление заведомо ложных сведений в документах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Обеспечение согласования и визирования издаваемых документов ответственными должностными лицами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proofErr w:type="spellEnd"/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7956D8" w:rsidP="00795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  <w:r w:rsidR="00B91BBD"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или лицо его замещающее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Необоснованное начисление премий, стимулирующих выплат; дифференцированная оплата труда на аналогичных должностях 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при прочих равных условиях; оплата рабочего времени не в полном объеме; 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Использование средств на оплату труда в строгом соответствии с Положением об оплате труда работников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обеспечение работы Комиссии по установлению стимулирующих выплат и премированию работников  Учреждения</w:t>
            </w:r>
          </w:p>
        </w:tc>
      </w:tr>
      <w:tr w:rsidR="00B04C26" w:rsidRPr="00436F36" w:rsidTr="00436F36">
        <w:tc>
          <w:tcPr>
            <w:tcW w:w="528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64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  <w:proofErr w:type="spellEnd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proofErr w:type="spellEnd"/>
          </w:p>
        </w:tc>
        <w:tc>
          <w:tcPr>
            <w:tcW w:w="2456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7956D8" w:rsidP="00436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  <w:r w:rsidR="00436F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или лицо её заменяющее</w:t>
            </w:r>
          </w:p>
        </w:tc>
        <w:tc>
          <w:tcPr>
            <w:tcW w:w="3542" w:type="dxa"/>
            <w:tcBorders>
              <w:left w:val="outset" w:sz="3" w:space="0" w:color="000000"/>
              <w:bottom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Необъективная оценка деятельности работников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</w:t>
            </w: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завышение (занижение) результативности труда и уровня профессиональных компетенций</w:t>
            </w:r>
          </w:p>
        </w:tc>
        <w:tc>
          <w:tcPr>
            <w:tcW w:w="5127" w:type="dxa"/>
            <w:tcBorders>
              <w:left w:val="outset" w:sz="3" w:space="0" w:color="000000"/>
              <w:bottom w:val="outset" w:sz="3" w:space="0" w:color="000000"/>
              <w:right w:val="outset" w:sz="3" w:space="0" w:color="000000"/>
            </w:tcBorders>
            <w:shd w:val="clear" w:color="auto" w:fill="auto"/>
          </w:tcPr>
          <w:p w:rsidR="00B04C26" w:rsidRPr="000A211F" w:rsidRDefault="00B9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Коллегиальное принятие решения об аттестации / не аттестации работников </w:t>
            </w:r>
            <w:r w:rsidRPr="000A2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Учреждения (при необходимости)</w:t>
            </w:r>
          </w:p>
        </w:tc>
      </w:tr>
    </w:tbl>
    <w:p w:rsidR="00B04C26" w:rsidRPr="000A211F" w:rsidRDefault="00B04C26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04C26" w:rsidRPr="000A211F">
      <w:headerReference w:type="default" r:id="rId10"/>
      <w:footerReference w:type="default" r:id="rId11"/>
      <w:pgSz w:w="15840" w:h="12240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4D" w:rsidRDefault="004C034D">
      <w:pPr>
        <w:rPr>
          <w:rFonts w:hint="eastAsia"/>
        </w:rPr>
      </w:pPr>
      <w:r>
        <w:separator/>
      </w:r>
    </w:p>
  </w:endnote>
  <w:endnote w:type="continuationSeparator" w:id="0">
    <w:p w:rsidR="004C034D" w:rsidRDefault="004C03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26" w:rsidRDefault="00B04C26">
    <w:pPr>
      <w:pStyle w:val="af1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26" w:rsidRDefault="00B04C26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4D" w:rsidRDefault="004C034D">
      <w:pPr>
        <w:rPr>
          <w:rFonts w:hint="eastAsia"/>
        </w:rPr>
      </w:pPr>
      <w:r>
        <w:separator/>
      </w:r>
    </w:p>
  </w:footnote>
  <w:footnote w:type="continuationSeparator" w:id="0">
    <w:p w:rsidR="004C034D" w:rsidRDefault="004C03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26" w:rsidRDefault="00B04C26">
    <w:pPr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26" w:rsidRDefault="00B04C26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9CC"/>
    <w:multiLevelType w:val="multilevel"/>
    <w:tmpl w:val="4B64A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7B2351"/>
    <w:multiLevelType w:val="multilevel"/>
    <w:tmpl w:val="350A0C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71B16212"/>
    <w:multiLevelType w:val="multilevel"/>
    <w:tmpl w:val="17D4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26"/>
    <w:rsid w:val="000A211F"/>
    <w:rsid w:val="00436F36"/>
    <w:rsid w:val="004C034D"/>
    <w:rsid w:val="00591EB2"/>
    <w:rsid w:val="007956D8"/>
    <w:rsid w:val="00B04C26"/>
    <w:rsid w:val="00B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0"/>
    <w:next w:val="a1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3z3">
    <w:name w:val="WW8Num3z3"/>
    <w:qFormat/>
    <w:rPr>
      <w:rFonts w:ascii="Symbol" w:hAnsi="Symbol" w:cs="OpenSymbol;Arial Unicode MS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styleId="a6">
    <w:name w:val="Strong"/>
    <w:basedOn w:val="a2"/>
    <w:qFormat/>
    <w:rPr>
      <w:b/>
      <w:bCs/>
    </w:rPr>
  </w:style>
  <w:style w:type="character" w:styleId="a7">
    <w:name w:val="Emphasis"/>
    <w:basedOn w:val="a2"/>
    <w:qFormat/>
    <w:rPr>
      <w:i/>
      <w:iCs/>
    </w:rPr>
  </w:style>
  <w:style w:type="character" w:customStyle="1" w:styleId="a8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Pr>
      <w:rFonts w:ascii="Times New Roman" w:hAnsi="Times New Roman" w:cs="Symbol"/>
      <w:sz w:val="28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ascii="Times New Roman" w:hAnsi="Times New Roman" w:cs="OpenSymbol"/>
      <w:sz w:val="28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Times New Roman" w:eastAsia="Times New Roman" w:hAnsi="Times New Roman"/>
      <w:sz w:val="28"/>
      <w:szCs w:val="28"/>
    </w:rPr>
  </w:style>
  <w:style w:type="character" w:customStyle="1" w:styleId="ListLabel75">
    <w:name w:val="ListLabel 75"/>
    <w:qFormat/>
    <w:rPr>
      <w:rFonts w:ascii="Times New Roman" w:hAnsi="Times New Roman" w:cs="Symbol"/>
      <w:sz w:val="28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  <w:sz w:val="28"/>
    </w:rPr>
  </w:style>
  <w:style w:type="character" w:customStyle="1" w:styleId="ListLabel85">
    <w:name w:val="ListLabel 85"/>
    <w:qFormat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OpenSymbol"/>
      <w:sz w:val="28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eastAsia="Times New Roman"/>
      <w:sz w:val="28"/>
      <w:szCs w:val="28"/>
    </w:rPr>
  </w:style>
  <w:style w:type="character" w:customStyle="1" w:styleId="ListLabel104">
    <w:name w:val="ListLabel 104"/>
    <w:qFormat/>
    <w:rPr>
      <w:rFonts w:ascii="Times New Roman" w:hAnsi="Times New Roman" w:cs="Symbol"/>
      <w:sz w:val="28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 w:cs="Symbol"/>
      <w:sz w:val="28"/>
    </w:rPr>
  </w:style>
  <w:style w:type="character" w:customStyle="1" w:styleId="ListLabel114">
    <w:name w:val="ListLabel 114"/>
    <w:qFormat/>
    <w:rPr>
      <w:rFonts w:ascii="Times New Roman" w:hAnsi="Times New Roman" w:cs="Symbol"/>
      <w:sz w:val="28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Times New Roman" w:hAnsi="Times New Roman" w:cs="OpenSymbol"/>
      <w:sz w:val="28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eastAsia="Times New Roman"/>
      <w:sz w:val="28"/>
      <w:szCs w:val="28"/>
    </w:rPr>
  </w:style>
  <w:style w:type="character" w:customStyle="1" w:styleId="ListLabel133">
    <w:name w:val="ListLabel 133"/>
    <w:qFormat/>
    <w:rPr>
      <w:rFonts w:cs="Times New Roman"/>
      <w:sz w:val="28"/>
      <w:szCs w:val="28"/>
    </w:rPr>
  </w:style>
  <w:style w:type="paragraph" w:customStyle="1" w:styleId="a9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d"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10">
    <w:name w:val="Заголовок 10"/>
    <w:basedOn w:val="a0"/>
    <w:next w:val="a1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af1">
    <w:name w:val="footer"/>
    <w:basedOn w:val="ad"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val="ru-RU" w:bidi="ar-SA"/>
    </w:rPr>
  </w:style>
  <w:style w:type="paragraph" w:styleId="af2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3">
    <w:name w:val="No Spacing"/>
    <w:qFormat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f4">
    <w:name w:val="Subtitle"/>
    <w:basedOn w:val="a"/>
    <w:next w:val="a1"/>
    <w:qFormat/>
    <w:pPr>
      <w:jc w:val="center"/>
    </w:pPr>
    <w:rPr>
      <w:szCs w:val="20"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paragraph" w:styleId="af6">
    <w:name w:val="Balloon Text"/>
    <w:basedOn w:val="a"/>
    <w:link w:val="af7"/>
    <w:uiPriority w:val="99"/>
    <w:semiHidden/>
    <w:unhideWhenUsed/>
    <w:rsid w:val="00436F36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2"/>
    <w:link w:val="af6"/>
    <w:uiPriority w:val="99"/>
    <w:semiHidden/>
    <w:rsid w:val="00436F3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0"/>
    <w:next w:val="a1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3z3">
    <w:name w:val="WW8Num3z3"/>
    <w:qFormat/>
    <w:rPr>
      <w:rFonts w:ascii="Symbol" w:hAnsi="Symbol" w:cs="OpenSymbol;Arial Unicode MS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styleId="a6">
    <w:name w:val="Strong"/>
    <w:basedOn w:val="a2"/>
    <w:qFormat/>
    <w:rPr>
      <w:b/>
      <w:bCs/>
    </w:rPr>
  </w:style>
  <w:style w:type="character" w:styleId="a7">
    <w:name w:val="Emphasis"/>
    <w:basedOn w:val="a2"/>
    <w:qFormat/>
    <w:rPr>
      <w:i/>
      <w:iCs/>
    </w:rPr>
  </w:style>
  <w:style w:type="character" w:customStyle="1" w:styleId="a8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Pr>
      <w:rFonts w:ascii="Times New Roman" w:hAnsi="Times New Roman" w:cs="Symbol"/>
      <w:sz w:val="28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ascii="Times New Roman" w:hAnsi="Times New Roman" w:cs="OpenSymbol"/>
      <w:sz w:val="28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Times New Roman" w:eastAsia="Times New Roman" w:hAnsi="Times New Roman"/>
      <w:sz w:val="28"/>
      <w:szCs w:val="28"/>
    </w:rPr>
  </w:style>
  <w:style w:type="character" w:customStyle="1" w:styleId="ListLabel75">
    <w:name w:val="ListLabel 75"/>
    <w:qFormat/>
    <w:rPr>
      <w:rFonts w:ascii="Times New Roman" w:hAnsi="Times New Roman" w:cs="Symbol"/>
      <w:sz w:val="28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  <w:sz w:val="28"/>
    </w:rPr>
  </w:style>
  <w:style w:type="character" w:customStyle="1" w:styleId="ListLabel85">
    <w:name w:val="ListLabel 85"/>
    <w:qFormat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OpenSymbol"/>
      <w:sz w:val="28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eastAsia="Times New Roman"/>
      <w:sz w:val="28"/>
      <w:szCs w:val="28"/>
    </w:rPr>
  </w:style>
  <w:style w:type="character" w:customStyle="1" w:styleId="ListLabel104">
    <w:name w:val="ListLabel 104"/>
    <w:qFormat/>
    <w:rPr>
      <w:rFonts w:ascii="Times New Roman" w:hAnsi="Times New Roman" w:cs="Symbol"/>
      <w:sz w:val="28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 w:cs="Symbol"/>
      <w:sz w:val="28"/>
    </w:rPr>
  </w:style>
  <w:style w:type="character" w:customStyle="1" w:styleId="ListLabel114">
    <w:name w:val="ListLabel 114"/>
    <w:qFormat/>
    <w:rPr>
      <w:rFonts w:ascii="Times New Roman" w:hAnsi="Times New Roman" w:cs="Symbol"/>
      <w:sz w:val="28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Times New Roman" w:hAnsi="Times New Roman" w:cs="OpenSymbol"/>
      <w:sz w:val="28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eastAsia="Times New Roman"/>
      <w:sz w:val="28"/>
      <w:szCs w:val="28"/>
    </w:rPr>
  </w:style>
  <w:style w:type="character" w:customStyle="1" w:styleId="ListLabel133">
    <w:name w:val="ListLabel 133"/>
    <w:qFormat/>
    <w:rPr>
      <w:rFonts w:cs="Times New Roman"/>
      <w:sz w:val="28"/>
      <w:szCs w:val="28"/>
    </w:rPr>
  </w:style>
  <w:style w:type="paragraph" w:customStyle="1" w:styleId="a9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d"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10">
    <w:name w:val="Заголовок 10"/>
    <w:basedOn w:val="a0"/>
    <w:next w:val="a1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af1">
    <w:name w:val="footer"/>
    <w:basedOn w:val="ad"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val="ru-RU" w:bidi="ar-SA"/>
    </w:rPr>
  </w:style>
  <w:style w:type="paragraph" w:styleId="af2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3">
    <w:name w:val="No Spacing"/>
    <w:qFormat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f4">
    <w:name w:val="Subtitle"/>
    <w:basedOn w:val="a"/>
    <w:next w:val="a1"/>
    <w:qFormat/>
    <w:pPr>
      <w:jc w:val="center"/>
    </w:pPr>
    <w:rPr>
      <w:szCs w:val="20"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paragraph" w:styleId="af6">
    <w:name w:val="Balloon Text"/>
    <w:basedOn w:val="a"/>
    <w:link w:val="af7"/>
    <w:uiPriority w:val="99"/>
    <w:semiHidden/>
    <w:unhideWhenUsed/>
    <w:rsid w:val="00436F36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2"/>
    <w:link w:val="af6"/>
    <w:uiPriority w:val="99"/>
    <w:semiHidden/>
    <w:rsid w:val="00436F3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2024-04-16T08:25:00Z</cp:lastPrinted>
  <dcterms:created xsi:type="dcterms:W3CDTF">2024-04-16T08:15:00Z</dcterms:created>
  <dcterms:modified xsi:type="dcterms:W3CDTF">2024-04-16T08:28:00Z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